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F318">
      <w:r>
        <w:rPr>
          <w:lang w:eastAsia="ru-RU"/>
        </w:rPr>
        <mc:AlternateContent>
          <mc:Choice Requires="wps">
            <w:drawing>
              <wp:anchor distT="0" distB="0" distL="114300" distR="114300" simplePos="0" relativeHeight="251660288" behindDoc="0" locked="0" layoutInCell="1" allowOverlap="1">
                <wp:simplePos x="0" y="0"/>
                <wp:positionH relativeFrom="column">
                  <wp:posOffset>3124200</wp:posOffset>
                </wp:positionH>
                <wp:positionV relativeFrom="paragraph">
                  <wp:posOffset>-134620</wp:posOffset>
                </wp:positionV>
                <wp:extent cx="3176905" cy="1898015"/>
                <wp:effectExtent l="0" t="0" r="4445" b="6985"/>
                <wp:wrapNone/>
                <wp:docPr id="3" name="Поле 3"/>
                <wp:cNvGraphicFramePr/>
                <a:graphic xmlns:a="http://schemas.openxmlformats.org/drawingml/2006/main">
                  <a:graphicData uri="http://schemas.microsoft.com/office/word/2010/wordprocessingShape">
                    <wps:wsp>
                      <wps:cNvSpPr txBox="1"/>
                      <wps:spPr>
                        <a:xfrm>
                          <a:off x="0" y="0"/>
                          <a:ext cx="3176905" cy="1898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6B906">
                            <w:pPr>
                              <w:pStyle w:val="30"/>
                              <w:jc w:val="center"/>
                              <w:rPr>
                                <w:rFonts w:ascii="Times New Roman" w:hAnsi="Times New Roman" w:cs="Times New Roman"/>
                                <w:b/>
                                <w:sz w:val="20"/>
                                <w:szCs w:val="20"/>
                              </w:rPr>
                            </w:pPr>
                            <w:r>
                              <w:rPr>
                                <w:rFonts w:ascii="Times New Roman" w:hAnsi="Times New Roman" w:cs="Times New Roman"/>
                                <w:b/>
                                <w:sz w:val="20"/>
                                <w:szCs w:val="20"/>
                              </w:rPr>
                              <w:t>САДОВОДЧЕСКОЕ ТОВАРИЩЕСТВО «ВЕТЕРАН -3»</w:t>
                            </w:r>
                          </w:p>
                          <w:p w14:paraId="277A9467">
                            <w:pPr>
                              <w:pStyle w:val="30"/>
                              <w:jc w:val="both"/>
                              <w:rPr>
                                <w:rFonts w:ascii="Times New Roman" w:hAnsi="Times New Roman" w:cs="Times New Roman"/>
                                <w:sz w:val="8"/>
                                <w:szCs w:val="8"/>
                              </w:rPr>
                            </w:pPr>
                          </w:p>
                          <w:p w14:paraId="1DE2313E">
                            <w:pPr>
                              <w:pStyle w:val="30"/>
                              <w:jc w:val="both"/>
                              <w:rPr>
                                <w:rFonts w:ascii="Times New Roman" w:hAnsi="Times New Roman" w:cs="Times New Roman"/>
                                <w:sz w:val="20"/>
                                <w:szCs w:val="20"/>
                              </w:rPr>
                            </w:pPr>
                            <w:r>
                              <w:rPr>
                                <w:rFonts w:ascii="Times New Roman" w:hAnsi="Times New Roman" w:cs="Times New Roman"/>
                                <w:sz w:val="20"/>
                                <w:szCs w:val="20"/>
                              </w:rPr>
                              <w:t>225012 Брестская обл., Брестский р-н, Знаменский с/с, вблизи д. Заказанка УНП 200377196</w:t>
                            </w:r>
                          </w:p>
                          <w:p w14:paraId="5AE9A344">
                            <w:pPr>
                              <w:pStyle w:val="3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"mailto:veteran3.brest@gmail.com" </w:instrText>
                            </w:r>
                            <w:r>
                              <w:fldChar w:fldCharType="separate"/>
                            </w:r>
                            <w:r>
                              <w:rPr>
                                <w:rStyle w:val="4"/>
                                <w:rFonts w:ascii="Times New Roman" w:hAnsi="Times New Roman" w:cs="Times New Roman"/>
                                <w:sz w:val="20"/>
                                <w:szCs w:val="20"/>
                                <w:lang w:val="en-US"/>
                              </w:rPr>
                              <w:t>veteran3.brest@gmail.com</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5475D8B0">
                            <w:pPr>
                              <w:pStyle w:val="30"/>
                              <w:jc w:val="both"/>
                              <w:rPr>
                                <w:rFonts w:ascii="Times New Roman" w:hAnsi="Times New Roman" w:cs="Times New Roman"/>
                                <w:sz w:val="20"/>
                                <w:szCs w:val="20"/>
                              </w:rPr>
                            </w:pPr>
                            <w:r>
                              <w:rPr>
                                <w:rFonts w:ascii="Times New Roman" w:hAnsi="Times New Roman" w:cs="Times New Roman"/>
                                <w:sz w:val="20"/>
                                <w:szCs w:val="20"/>
                              </w:rPr>
                              <w:t>Председатель +375(33) 993 31 31</w:t>
                            </w:r>
                          </w:p>
                          <w:p w14:paraId="30C53FB5">
                            <w:pPr>
                              <w:pStyle w:val="30"/>
                              <w:jc w:val="both"/>
                              <w:rPr>
                                <w:rFonts w:ascii="Times New Roman" w:hAnsi="Times New Roman" w:cs="Times New Roman"/>
                                <w:sz w:val="20"/>
                                <w:szCs w:val="20"/>
                              </w:rPr>
                            </w:pPr>
                            <w:r>
                              <w:rPr>
                                <w:rFonts w:ascii="Times New Roman" w:hAnsi="Times New Roman" w:cs="Times New Roman"/>
                                <w:sz w:val="20"/>
                                <w:szCs w:val="20"/>
                              </w:rPr>
                              <w:t xml:space="preserve">Казначей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204 60 47</w:t>
                            </w:r>
                          </w:p>
                          <w:p w14:paraId="26A08369">
                            <w:pPr>
                              <w:pStyle w:val="30"/>
                              <w:jc w:val="both"/>
                              <w:rPr>
                                <w:rFonts w:ascii="Times New Roman" w:hAnsi="Times New Roman" w:cs="Times New Roman"/>
                                <w:sz w:val="20"/>
                                <w:szCs w:val="20"/>
                              </w:rPr>
                            </w:pPr>
                            <w:r>
                              <w:rPr>
                                <w:rFonts w:ascii="Times New Roman" w:hAnsi="Times New Roman" w:cs="Times New Roman"/>
                                <w:sz w:val="20"/>
                                <w:szCs w:val="20"/>
                              </w:rPr>
                              <w:t xml:space="preserve">Электрик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798 57 08</w:t>
                            </w:r>
                          </w:p>
                          <w:p w14:paraId="7322369F">
                            <w:pPr>
                              <w:pStyle w:val="30"/>
                              <w:jc w:val="both"/>
                              <w:rPr>
                                <w:rFonts w:ascii="Times New Roman" w:hAnsi="Times New Roman" w:cs="Times New Roman"/>
                                <w:sz w:val="20"/>
                                <w:szCs w:val="20"/>
                              </w:rPr>
                            </w:pPr>
                            <w:r>
                              <w:rPr>
                                <w:rFonts w:ascii="Times New Roman" w:hAnsi="Times New Roman" w:cs="Times New Roman"/>
                                <w:sz w:val="20"/>
                                <w:szCs w:val="20"/>
                              </w:rPr>
                              <w:t>Адрес для корреспонденции:</w:t>
                            </w:r>
                          </w:p>
                          <w:p w14:paraId="7EF339E2">
                            <w:pPr>
                              <w:pStyle w:val="30"/>
                              <w:jc w:val="both"/>
                              <w:rPr>
                                <w:rFonts w:ascii="Times New Roman" w:hAnsi="Times New Roman" w:cs="Times New Roman"/>
                                <w:sz w:val="20"/>
                                <w:szCs w:val="20"/>
                              </w:rPr>
                            </w:pPr>
                            <w:r>
                              <w:rPr>
                                <w:rFonts w:ascii="Times New Roman" w:hAnsi="Times New Roman" w:cs="Times New Roman"/>
                                <w:sz w:val="20"/>
                                <w:szCs w:val="20"/>
                              </w:rPr>
                              <w:t>224002 г. Брест, ул. Гвардейская д. 8 кв. 25</w:t>
                            </w:r>
                          </w:p>
                          <w:p w14:paraId="63A2FE55">
                            <w:pPr>
                              <w:pStyle w:val="30"/>
                              <w:jc w:val="both"/>
                              <w:rPr>
                                <w:rFonts w:ascii="Times New Roman" w:hAnsi="Times New Roman" w:cs="Times New Roman"/>
                                <w:sz w:val="20"/>
                              </w:rPr>
                            </w:pPr>
                            <w:r>
                              <w:rPr>
                                <w:rFonts w:ascii="Times New Roman" w:hAnsi="Times New Roman" w:cs="Times New Roman"/>
                                <w:sz w:val="20"/>
                              </w:rPr>
                              <w:t xml:space="preserve">р/с BY78BPSB30151219140149330000 </w:t>
                            </w:r>
                          </w:p>
                          <w:p w14:paraId="7D753E75">
                            <w:pPr>
                              <w:pStyle w:val="30"/>
                              <w:jc w:val="both"/>
                              <w:rPr>
                                <w:rFonts w:ascii="Times New Roman" w:hAnsi="Times New Roman" w:cs="Times New Roman"/>
                                <w:sz w:val="20"/>
                              </w:rPr>
                            </w:pPr>
                            <w:r>
                              <w:rPr>
                                <w:rFonts w:ascii="Times New Roman" w:hAnsi="Times New Roman" w:cs="Times New Roman"/>
                                <w:sz w:val="20"/>
                              </w:rPr>
                              <w:t>в ОАО «Сбер Банк» BIC банка BPSBBY2X</w:t>
                            </w:r>
                          </w:p>
                          <w:p w14:paraId="090B141D">
                            <w:pPr>
                              <w:spacing w:after="0" w:line="240"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Поле 3" o:spid="_x0000_s1026" o:spt="202" type="#_x0000_t202" style="position:absolute;left:0pt;margin-left:246pt;margin-top:-10.6pt;height:149.45pt;width:250.15pt;z-index:251660288;mso-width-relative:page;mso-height-relative:page;" fillcolor="#FFFFFF [3201]" filled="t" stroked="f" coordsize="21600,21600" o:gfxdata="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moEJnXAAAACwEA&#10;AA8AAAAAAAAAAQAgAAAAIgAAAGRycy9kb3ducmV2LnhtbFBLAQIUABQAAAAIAIdO4kDuFQL9VAIA&#10;AJ0EAAAOAAAAAAAAAAEAIAAAACYBAABkcnMvZTJvRG9jLnhtbFBLBQYAAAAABgAGAFkBAADsBQAA&#10;AAA=&#10;">
                <v:fill on="t" focussize="0,0"/>
                <v:stroke on="f" weight="0.5pt"/>
                <v:imagedata o:title=""/>
                <o:lock v:ext="edit" aspectratio="f"/>
                <v:textbox>
                  <w:txbxContent>
                    <w:p w14:paraId="7266B906">
                      <w:pPr>
                        <w:pStyle w:val="30"/>
                        <w:jc w:val="center"/>
                        <w:rPr>
                          <w:rFonts w:ascii="Times New Roman" w:hAnsi="Times New Roman" w:cs="Times New Roman"/>
                          <w:b/>
                          <w:sz w:val="20"/>
                          <w:szCs w:val="20"/>
                        </w:rPr>
                      </w:pPr>
                      <w:r>
                        <w:rPr>
                          <w:rFonts w:ascii="Times New Roman" w:hAnsi="Times New Roman" w:cs="Times New Roman"/>
                          <w:b/>
                          <w:sz w:val="20"/>
                          <w:szCs w:val="20"/>
                        </w:rPr>
                        <w:t>САДОВОДЧЕСКОЕ ТОВАРИЩЕСТВО «ВЕТЕРАН -3»</w:t>
                      </w:r>
                    </w:p>
                    <w:p w14:paraId="277A9467">
                      <w:pPr>
                        <w:pStyle w:val="30"/>
                        <w:jc w:val="both"/>
                        <w:rPr>
                          <w:rFonts w:ascii="Times New Roman" w:hAnsi="Times New Roman" w:cs="Times New Roman"/>
                          <w:sz w:val="8"/>
                          <w:szCs w:val="8"/>
                        </w:rPr>
                      </w:pPr>
                    </w:p>
                    <w:p w14:paraId="1DE2313E">
                      <w:pPr>
                        <w:pStyle w:val="30"/>
                        <w:jc w:val="both"/>
                        <w:rPr>
                          <w:rFonts w:ascii="Times New Roman" w:hAnsi="Times New Roman" w:cs="Times New Roman"/>
                          <w:sz w:val="20"/>
                          <w:szCs w:val="20"/>
                        </w:rPr>
                      </w:pPr>
                      <w:r>
                        <w:rPr>
                          <w:rFonts w:ascii="Times New Roman" w:hAnsi="Times New Roman" w:cs="Times New Roman"/>
                          <w:sz w:val="20"/>
                          <w:szCs w:val="20"/>
                        </w:rPr>
                        <w:t>225012 Брестская обл., Брестский р-н, Знаменский с/с, вблизи д. Заказанка УНП 200377196</w:t>
                      </w:r>
                    </w:p>
                    <w:p w14:paraId="5AE9A344">
                      <w:pPr>
                        <w:pStyle w:val="3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"mailto:veteran3.brest@gmail.com" </w:instrText>
                      </w:r>
                      <w:r>
                        <w:fldChar w:fldCharType="separate"/>
                      </w:r>
                      <w:r>
                        <w:rPr>
                          <w:rStyle w:val="4"/>
                          <w:rFonts w:ascii="Times New Roman" w:hAnsi="Times New Roman" w:cs="Times New Roman"/>
                          <w:sz w:val="20"/>
                          <w:szCs w:val="20"/>
                          <w:lang w:val="en-US"/>
                        </w:rPr>
                        <w:t>veteran3.brest@gmail.com</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5475D8B0">
                      <w:pPr>
                        <w:pStyle w:val="30"/>
                        <w:jc w:val="both"/>
                        <w:rPr>
                          <w:rFonts w:ascii="Times New Roman" w:hAnsi="Times New Roman" w:cs="Times New Roman"/>
                          <w:sz w:val="20"/>
                          <w:szCs w:val="20"/>
                        </w:rPr>
                      </w:pPr>
                      <w:r>
                        <w:rPr>
                          <w:rFonts w:ascii="Times New Roman" w:hAnsi="Times New Roman" w:cs="Times New Roman"/>
                          <w:sz w:val="20"/>
                          <w:szCs w:val="20"/>
                        </w:rPr>
                        <w:t>Председатель +375(33) 993 31 31</w:t>
                      </w:r>
                    </w:p>
                    <w:p w14:paraId="30C53FB5">
                      <w:pPr>
                        <w:pStyle w:val="30"/>
                        <w:jc w:val="both"/>
                        <w:rPr>
                          <w:rFonts w:ascii="Times New Roman" w:hAnsi="Times New Roman" w:cs="Times New Roman"/>
                          <w:sz w:val="20"/>
                          <w:szCs w:val="20"/>
                        </w:rPr>
                      </w:pPr>
                      <w:r>
                        <w:rPr>
                          <w:rFonts w:ascii="Times New Roman" w:hAnsi="Times New Roman" w:cs="Times New Roman"/>
                          <w:sz w:val="20"/>
                          <w:szCs w:val="20"/>
                        </w:rPr>
                        <w:t xml:space="preserve">Казначей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204 60 47</w:t>
                      </w:r>
                    </w:p>
                    <w:p w14:paraId="26A08369">
                      <w:pPr>
                        <w:pStyle w:val="30"/>
                        <w:jc w:val="both"/>
                        <w:rPr>
                          <w:rFonts w:ascii="Times New Roman" w:hAnsi="Times New Roman" w:cs="Times New Roman"/>
                          <w:sz w:val="20"/>
                          <w:szCs w:val="20"/>
                        </w:rPr>
                      </w:pPr>
                      <w:r>
                        <w:rPr>
                          <w:rFonts w:ascii="Times New Roman" w:hAnsi="Times New Roman" w:cs="Times New Roman"/>
                          <w:sz w:val="20"/>
                          <w:szCs w:val="20"/>
                        </w:rPr>
                        <w:t xml:space="preserve">Электрик       </w:t>
                      </w:r>
                      <w:r>
                        <w:rPr>
                          <w:rFonts w:hint="default" w:ascii="Times New Roman" w:hAnsi="Times New Roman" w:cs="Times New Roman"/>
                          <w:sz w:val="20"/>
                          <w:szCs w:val="20"/>
                          <w:lang w:val="ru-RU"/>
                        </w:rPr>
                        <w:t xml:space="preserve">             </w:t>
                      </w:r>
                      <w:r>
                        <w:rPr>
                          <w:rFonts w:ascii="Times New Roman" w:hAnsi="Times New Roman" w:cs="Times New Roman"/>
                          <w:sz w:val="20"/>
                          <w:szCs w:val="20"/>
                        </w:rPr>
                        <w:t xml:space="preserve">   +375(29) 798 57 08</w:t>
                      </w:r>
                    </w:p>
                    <w:p w14:paraId="7322369F">
                      <w:pPr>
                        <w:pStyle w:val="30"/>
                        <w:jc w:val="both"/>
                        <w:rPr>
                          <w:rFonts w:ascii="Times New Roman" w:hAnsi="Times New Roman" w:cs="Times New Roman"/>
                          <w:sz w:val="20"/>
                          <w:szCs w:val="20"/>
                        </w:rPr>
                      </w:pPr>
                      <w:r>
                        <w:rPr>
                          <w:rFonts w:ascii="Times New Roman" w:hAnsi="Times New Roman" w:cs="Times New Roman"/>
                          <w:sz w:val="20"/>
                          <w:szCs w:val="20"/>
                        </w:rPr>
                        <w:t>Адрес для корреспонденции:</w:t>
                      </w:r>
                    </w:p>
                    <w:p w14:paraId="7EF339E2">
                      <w:pPr>
                        <w:pStyle w:val="30"/>
                        <w:jc w:val="both"/>
                        <w:rPr>
                          <w:rFonts w:ascii="Times New Roman" w:hAnsi="Times New Roman" w:cs="Times New Roman"/>
                          <w:sz w:val="20"/>
                          <w:szCs w:val="20"/>
                        </w:rPr>
                      </w:pPr>
                      <w:r>
                        <w:rPr>
                          <w:rFonts w:ascii="Times New Roman" w:hAnsi="Times New Roman" w:cs="Times New Roman"/>
                          <w:sz w:val="20"/>
                          <w:szCs w:val="20"/>
                        </w:rPr>
                        <w:t>224002 г. Брест, ул. Гвардейская д. 8 кв. 25</w:t>
                      </w:r>
                    </w:p>
                    <w:p w14:paraId="63A2FE55">
                      <w:pPr>
                        <w:pStyle w:val="30"/>
                        <w:jc w:val="both"/>
                        <w:rPr>
                          <w:rFonts w:ascii="Times New Roman" w:hAnsi="Times New Roman" w:cs="Times New Roman"/>
                          <w:sz w:val="20"/>
                        </w:rPr>
                      </w:pPr>
                      <w:r>
                        <w:rPr>
                          <w:rFonts w:ascii="Times New Roman" w:hAnsi="Times New Roman" w:cs="Times New Roman"/>
                          <w:sz w:val="20"/>
                        </w:rPr>
                        <w:t xml:space="preserve">р/с BY78BPSB30151219140149330000 </w:t>
                      </w:r>
                    </w:p>
                    <w:p w14:paraId="7D753E75">
                      <w:pPr>
                        <w:pStyle w:val="30"/>
                        <w:jc w:val="both"/>
                        <w:rPr>
                          <w:rFonts w:ascii="Times New Roman" w:hAnsi="Times New Roman" w:cs="Times New Roman"/>
                          <w:sz w:val="20"/>
                        </w:rPr>
                      </w:pPr>
                      <w:r>
                        <w:rPr>
                          <w:rFonts w:ascii="Times New Roman" w:hAnsi="Times New Roman" w:cs="Times New Roman"/>
                          <w:sz w:val="20"/>
                        </w:rPr>
                        <w:t>в ОАО «Сбер Банк» BIC банка BPSBBY2X</w:t>
                      </w:r>
                    </w:p>
                    <w:p w14:paraId="090B141D">
                      <w:pPr>
                        <w:spacing w:after="0" w:line="240" w:lineRule="auto"/>
                        <w:jc w:val="both"/>
                        <w:rPr>
                          <w:rFonts w:ascii="Times New Roman" w:hAnsi="Times New Roman" w:cs="Times New Roman"/>
                          <w:sz w:val="20"/>
                          <w:szCs w:val="20"/>
                        </w:rPr>
                      </w:pPr>
                    </w:p>
                  </w:txbxContent>
                </v:textbox>
              </v:shape>
            </w:pict>
          </mc:Fallback>
        </mc:AlternateContent>
      </w:r>
      <w:r>
        <w:rPr>
          <w:lang w:eastAsia="ru-RU"/>
        </w:rPr>
        <mc:AlternateContent>
          <mc:Choice Requires="wps">
            <w:drawing>
              <wp:anchor distT="0" distB="0" distL="114300" distR="114300" simplePos="0" relativeHeight="251659264" behindDoc="0" locked="0" layoutInCell="1" allowOverlap="1">
                <wp:simplePos x="0" y="0"/>
                <wp:positionH relativeFrom="column">
                  <wp:posOffset>2757170</wp:posOffset>
                </wp:positionH>
                <wp:positionV relativeFrom="paragraph">
                  <wp:posOffset>-67945</wp:posOffset>
                </wp:positionV>
                <wp:extent cx="0" cy="1745615"/>
                <wp:effectExtent l="0" t="0" r="19050" b="2603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74561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o:spt="20" style="position:absolute;left:0pt;margin-left:217.1pt;margin-top:-5.35pt;height:137.45pt;width:0pt;z-index:251659264;mso-width-relative:page;mso-height-relative:page;" filled="f" stroked="t" coordsize="21600,21600" o:gfxdata="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gGtHtkAAAALAQAADwAA&#10;AAAAAAABACAAAAAiAAAAZHJzL2Rvd25yZXYueG1sUEsBAhQAFAAAAAgAh07iQD+RNisVAgAA+AMA&#10;AA4AAAAAAAAAAQAgAAAAKAEAAGRycy9lMm9Eb2MueG1sUEsFBgAAAAAGAAYAWQEAAK8FAAAAAA==&#10;">
                <v:fill on="f" focussize="0,0"/>
                <v:stroke weight="0.5pt" color="#548235 [2409]" miterlimit="8" joinstyle="miter"/>
                <v:imagedata o:title=""/>
                <o:lock v:ext="edit" aspectratio="f"/>
              </v:line>
            </w:pict>
          </mc:Fallback>
        </mc:AlternateContent>
      </w:r>
      <w:r>
        <w:rPr>
          <w:lang w:eastAsia="ru-RU"/>
        </w:rPr>
        <w:drawing>
          <wp:anchor distT="0" distB="0" distL="114300" distR="114300" simplePos="0" relativeHeight="251662336" behindDoc="0" locked="0" layoutInCell="1" allowOverlap="1">
            <wp:simplePos x="0" y="0"/>
            <wp:positionH relativeFrom="column">
              <wp:posOffset>187325</wp:posOffset>
            </wp:positionH>
            <wp:positionV relativeFrom="paragraph">
              <wp:posOffset>-64770</wp:posOffset>
            </wp:positionV>
            <wp:extent cx="2362200" cy="162814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62200" cy="1627909"/>
                    </a:xfrm>
                    <a:prstGeom prst="rect">
                      <a:avLst/>
                    </a:prstGeom>
                    <a:noFill/>
                    <a:ln>
                      <a:noFill/>
                    </a:ln>
                  </pic:spPr>
                </pic:pic>
              </a:graphicData>
            </a:graphic>
          </wp:anchor>
        </w:drawing>
      </w:r>
    </w:p>
    <w:p w14:paraId="7DB7DE49"/>
    <w:p w14:paraId="344631A2"/>
    <w:p w14:paraId="3A4D6AAD"/>
    <w:p w14:paraId="66692945"/>
    <w:p w14:paraId="1A2705B3">
      <w:r>
        <w:rPr>
          <w:lang w:eastAsia="ru-RU"/>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ge">
                  <wp:posOffset>2386330</wp:posOffset>
                </wp:positionV>
                <wp:extent cx="6347460" cy="0"/>
                <wp:effectExtent l="0" t="0" r="15240" b="19050"/>
                <wp:wrapTopAndBottom/>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6347460" cy="0"/>
                        </a:xfrm>
                        <a:prstGeom prst="line">
                          <a:avLst/>
                        </a:prstGeom>
                        <a:noFill/>
                        <a:ln w="9525" cap="flat" cmpd="sng" algn="ctr">
                          <a:solidFill>
                            <a:srgbClr val="F79646">
                              <a:lumMod val="75000"/>
                            </a:srgbClr>
                          </a:solidFill>
                          <a:prstDash val="solid"/>
                        </a:ln>
                        <a:effectLst/>
                      </wps:spPr>
                      <wps:bodyPr/>
                    </wps:wsp>
                  </a:graphicData>
                </a:graphic>
              </wp:anchor>
            </w:drawing>
          </mc:Choice>
          <mc:Fallback>
            <w:pict>
              <v:line id="Прямая соединительная линия 1" o:spid="_x0000_s1026" o:spt="20" style="position:absolute;left:0pt;flip:x;margin-left:-0.05pt;margin-top:187.9pt;height:0pt;width:499.8pt;mso-position-horizontal-relative:margin;mso-position-vertical-relative:page;mso-wrap-distance-bottom:0pt;mso-wrap-distance-top:0pt;z-index:251661312;mso-width-relative:page;mso-height-relative:page;" filled="f" stroked="t" coordsize="21600,21600" o:gfxdata="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CgBO2AAAAAkBAAAP&#10;AAAAAAAAAAEAIAAAACIAAABkcnMvZG93bnJldi54bWxQSwECFAAUAAAACACHTuJAH4SsTBgCAAD5&#10;AwAADgAAAAAAAAABACAAAAAnAQAAZHJzL2Uyb0RvYy54bWxQSwUGAAAAAAYABgBZAQAAsQUAAAAA&#10;">
                <v:fill on="f" focussize="0,0"/>
                <v:stroke color="#E46C0A" joinstyle="round"/>
                <v:imagedata o:title=""/>
                <o:lock v:ext="edit" aspectratio="f"/>
                <w10:wrap type="topAndBottom"/>
              </v:line>
            </w:pict>
          </mc:Fallback>
        </mc:AlternateContent>
      </w:r>
    </w:p>
    <w:p w14:paraId="4AD47809">
      <w:pPr>
        <w:tabs>
          <w:tab w:val="left" w:pos="9356"/>
        </w:tabs>
        <w:spacing w:after="0" w:line="240" w:lineRule="auto"/>
        <w:rPr>
          <w:rFonts w:ascii="Times New Roman" w:hAnsi="Times New Roman" w:cs="Times New Roman"/>
          <w:b/>
          <w:caps/>
          <w:sz w:val="28"/>
          <w:szCs w:val="28"/>
        </w:rPr>
      </w:pPr>
    </w:p>
    <w:p w14:paraId="50816C50">
      <w:pPr>
        <w:tabs>
          <w:tab w:val="left" w:pos="9356"/>
        </w:tabs>
        <w:spacing w:after="0" w:line="240" w:lineRule="auto"/>
        <w:rPr>
          <w:rFonts w:ascii="Times New Roman" w:hAnsi="Times New Roman" w:cs="Times New Roman"/>
          <w:b/>
          <w:caps/>
          <w:sz w:val="28"/>
          <w:szCs w:val="28"/>
        </w:rPr>
      </w:pPr>
    </w:p>
    <w:p w14:paraId="34C3834A">
      <w:pPr>
        <w:tabs>
          <w:tab w:val="left" w:pos="9356"/>
        </w:tabs>
        <w:spacing w:after="0" w:line="240" w:lineRule="auto"/>
        <w:rPr>
          <w:rFonts w:hint="default" w:ascii="Times New Roman" w:hAnsi="Times New Roman" w:cs="Times New Roman"/>
          <w:b/>
          <w:caps/>
          <w:sz w:val="28"/>
          <w:szCs w:val="28"/>
          <w:lang w:val="ru-RU"/>
        </w:rPr>
      </w:pPr>
      <w:r>
        <w:rPr>
          <w:rFonts w:ascii="Times New Roman" w:hAnsi="Times New Roman" w:cs="Times New Roman"/>
          <w:b/>
          <w:caps/>
          <w:sz w:val="28"/>
          <w:szCs w:val="28"/>
          <w:lang w:val="ru-RU"/>
        </w:rPr>
        <w:t>Пояснения</w:t>
      </w:r>
      <w:r>
        <w:rPr>
          <w:rFonts w:hint="default" w:ascii="Times New Roman" w:hAnsi="Times New Roman" w:cs="Times New Roman"/>
          <w:b/>
          <w:caps/>
          <w:sz w:val="28"/>
          <w:szCs w:val="28"/>
          <w:lang w:val="ru-RU"/>
        </w:rPr>
        <w:t xml:space="preserve"> на обращения</w:t>
      </w:r>
    </w:p>
    <w:p w14:paraId="51C62EDA">
      <w:pPr>
        <w:tabs>
          <w:tab w:val="left" w:pos="9356"/>
        </w:tabs>
        <w:spacing w:after="0" w:line="240" w:lineRule="auto"/>
        <w:rPr>
          <w:rFonts w:hint="default" w:ascii="Times New Roman" w:hAnsi="Times New Roman" w:cs="Times New Roman"/>
          <w:b/>
          <w:caps/>
          <w:sz w:val="28"/>
          <w:szCs w:val="28"/>
          <w:lang w:val="ru-RU"/>
        </w:rPr>
      </w:pPr>
    </w:p>
    <w:p w14:paraId="328CA049">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Я, Малюгин Сергей Александрович, 1981 года рождения являюсь Председателем правления садоводческого товарищества «Ветеран-3» с 18 июня   </w:t>
      </w:r>
      <w:r>
        <w:rPr>
          <w:rFonts w:hint="default" w:ascii="Times New Roman" w:hAnsi="Times New Roman" w:cs="Times New Roman"/>
          <w:sz w:val="28"/>
          <w:szCs w:val="28"/>
          <w:lang w:val="ru-RU"/>
        </w:rPr>
        <w:br w:type="textWrapping"/>
      </w:r>
      <w:r>
        <w:rPr>
          <w:rFonts w:hint="default" w:ascii="Times New Roman" w:hAnsi="Times New Roman" w:cs="Times New Roman"/>
          <w:sz w:val="28"/>
          <w:szCs w:val="28"/>
          <w:lang w:val="ru-RU"/>
        </w:rPr>
        <w:t xml:space="preserve">2022 года. Товарищество имеет 754 земельных участка.  На сегодняшний день документально подтвердили свои права на земельный участок 486 члена товарищества (689 участков). </w:t>
      </w:r>
    </w:p>
    <w:p w14:paraId="7E9CACD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За данный период была активно организована работа по сбору информации о владельцах земельных участков. На сегодняшний день выявлено 43 участка, владельцы которых не могут предоставить документы, подтверждающие правообладание ими. Владельцев 10 земельных участков найти не удалось совсем.</w:t>
      </w:r>
    </w:p>
    <w:p w14:paraId="3F9BF438">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Разработаны и утверждены на Общем собрании Правила внутреннего распорядка товарищества. Данного документа до этого момента в товариществе не существовало совсем, хотя это второй документ по значимости в товариществе после Устава. </w:t>
      </w:r>
    </w:p>
    <w:p w14:paraId="34C1C0C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30 мая 2023 года подписан Президентом Республики Беларусь Указ №155, который вступил в силу 1 декабря 2023 года. В связи с этим, были разработаны и подготовлены к утверждению на Общем собрании 2024 в новой редакции Устав и Правила внутреннего распорядка товарищества. </w:t>
      </w:r>
    </w:p>
    <w:p w14:paraId="7634BDC0">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Своими силами был разработан и запущен сайт </w:t>
      </w:r>
      <w:r>
        <w:rPr>
          <w:rFonts w:hint="default" w:ascii="Times New Roman" w:hAnsi="Times New Roman" w:cs="Times New Roman"/>
          <w:sz w:val="28"/>
          <w:szCs w:val="28"/>
          <w:lang w:val="en-US"/>
        </w:rPr>
        <w:t xml:space="preserve">VETERAN-3.BY. </w:t>
      </w:r>
      <w:r>
        <w:rPr>
          <w:rFonts w:hint="default" w:ascii="Times New Roman" w:hAnsi="Times New Roman" w:cs="Times New Roman"/>
          <w:sz w:val="28"/>
          <w:szCs w:val="28"/>
          <w:lang w:val="ru-RU"/>
        </w:rPr>
        <w:t xml:space="preserve">На данном сайте размещена документация товарищества. Создана единая база для облегчения работы правления. Имеется возможность оплаты взносов и потребленной электроэнергии в интернет-банкинге или м-банкинге через систему </w:t>
      </w:r>
      <w:r>
        <w:rPr>
          <w:rFonts w:hint="default" w:ascii="Times New Roman" w:hAnsi="Times New Roman" w:cs="Times New Roman"/>
          <w:sz w:val="28"/>
          <w:szCs w:val="28"/>
          <w:lang w:val="en-US"/>
        </w:rPr>
        <w:t>E-POS</w:t>
      </w:r>
      <w:r>
        <w:rPr>
          <w:rFonts w:hint="default" w:ascii="Times New Roman" w:hAnsi="Times New Roman" w:cs="Times New Roman"/>
          <w:sz w:val="28"/>
          <w:szCs w:val="28"/>
          <w:lang w:val="ru-RU"/>
        </w:rPr>
        <w:t>, которая была успешно подключена и запущена в 2023 году.</w:t>
      </w:r>
    </w:p>
    <w:p w14:paraId="3E8436BD">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Определены и подготовлены подъездные пути к площадкам для сбора мусора в районах земельных участков  682, 90. В этом году будут организованы две дополнительные площадки для сбора мусора на 4 контейнера общим объёмом 4.4 м3. На действующей площадке произведена замена трёх металлических мусорных баков общим объёмом 2.25 м3 на пять пластиковых контейнеров общим объёмом 5.5 м3. </w:t>
      </w:r>
    </w:p>
    <w:p w14:paraId="7BA3B1F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Установлена беседка для членов товарищества, которые проходя рядом, могут спокойно отдохнуть в теньке. Там же установлена колонка с водой, которой может воспользоваться любой желающий.</w:t>
      </w:r>
    </w:p>
    <w:p w14:paraId="007CB07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Произведена установка 6 видеокамер на подъездных путях в товарищество и в районах мест для сбора мусора. До этого момента в товариществе видеонаблюдения не было совсем.</w:t>
      </w:r>
    </w:p>
    <w:p w14:paraId="0970B0E0">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Установлено в товариществе 40 фонарей уличного освещения. До этого момента в товариществе уличного освещения не было совсем.</w:t>
      </w:r>
    </w:p>
    <w:p w14:paraId="74A15ADE">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С мая по сентябрь один раз в неделю (по средам) было согласовано посещение нашего товарищества Автомагазином, в котором можно делать на определённые группы товаров даже заказ. До этого момента в товарищество Автомагазин никогда не ездил.</w:t>
      </w:r>
    </w:p>
    <w:p w14:paraId="4D39394E">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 По мере возможности была организована работа по поддержанию дорожного полотна в удовлетворительном состоянии основных дорог в товариществе. Была организована доставка и подсыпка 620 тонн строительной дроблёнки. Осуществлено строительство дороги на улице Добрая (1</w:t>
      </w:r>
      <w:bookmarkStart w:id="0" w:name="_GoBack"/>
      <w:bookmarkEnd w:id="0"/>
      <w:r>
        <w:rPr>
          <w:rFonts w:hint="default" w:ascii="Times New Roman" w:hAnsi="Times New Roman" w:cs="Times New Roman"/>
          <w:sz w:val="28"/>
          <w:szCs w:val="28"/>
          <w:lang w:val="ru-RU"/>
        </w:rPr>
        <w:t>90 метров дороги шириной 6 метров), для чего было доставлено в товарищество 870 тонн песка. Готовность дороги на сегодняшний день 100 процентов. Общее время работы фронтального погрузчика в товариществе за 2022-24 года составила 256 часов.</w:t>
      </w:r>
    </w:p>
    <w:p w14:paraId="300F48A6">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Начата и продолжается работа по наведению порядка в электрохозяйстве. </w:t>
      </w:r>
    </w:p>
    <w:p w14:paraId="06EC6CAF">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 2022 год в товариществе:</w:t>
      </w:r>
    </w:p>
    <w:p w14:paraId="7E1C00E4">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338 средств учёта электроэнергии были не поверены 302 счётчика;</w:t>
      </w:r>
    </w:p>
    <w:p w14:paraId="6D4C3664">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из 338 счётчиков, 281 были индукционного типа. </w:t>
      </w:r>
    </w:p>
    <w:p w14:paraId="709D87EF">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На сегодняшний день в товариществе (новых Потребителей 43 человека):</w:t>
      </w:r>
    </w:p>
    <w:p w14:paraId="1C9ACEBA">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381 средства учёта электроэнергии остались не поверены 8 счётчиков;</w:t>
      </w:r>
    </w:p>
    <w:p w14:paraId="101CC89A">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из 381 счётчика, 14 остались индукционного типа. Практически 97 процентов счётчиков  у нас электронного типа, что позволило сократить очередной раз технологические потери и оставить стоимость 1 кВт/ч на прошлогоднем уровне.</w:t>
      </w:r>
    </w:p>
    <w:p w14:paraId="0CC8A494">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В связи с изменениями в Министерстве энергетики типового Договора на обеспечение услуг электроснабжения, а также отсутствия практически 90% Договоров в товариществе, был разработан и утверждён на Общем собрании </w:t>
      </w:r>
      <w:r>
        <w:rPr>
          <w:rFonts w:hint="default" w:ascii="Times New Roman" w:hAnsi="Times New Roman" w:cs="Times New Roman"/>
          <w:sz w:val="28"/>
          <w:szCs w:val="28"/>
          <w:lang w:val="ru-RU"/>
        </w:rPr>
        <w:br w:type="textWrapping"/>
      </w:r>
      <w:r>
        <w:rPr>
          <w:rFonts w:hint="default" w:ascii="Times New Roman" w:hAnsi="Times New Roman" w:cs="Times New Roman"/>
          <w:sz w:val="28"/>
          <w:szCs w:val="28"/>
          <w:lang w:val="ru-RU"/>
        </w:rPr>
        <w:t xml:space="preserve">30 апреля 2023 новый Договор на обеспечение услуг электроснабжения, который заключили практически все члены товарищества, за исключением владелицы земельного участка 549 Кириловой Зинаиды Николаевны - электроустановка отключена от ЛЭП после предупреждения. Подключение будет возможно только после подписания Договора, а так же оплаты целевого взноса за повторное подключение к ЛЭП, утвержденного на Общем собрании. </w:t>
      </w:r>
    </w:p>
    <w:p w14:paraId="7584912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Также, с июля по октябрь 2022 года была проведена проверка всех электроустановок и опломбировка средств учета. Велась активно работа по выявлению незаконного введения в работу и эксплуатации электроустановок. При осмотре были выявлены следующие проблемные вопросы:</w:t>
      </w:r>
    </w:p>
    <w:p w14:paraId="46B2DC3D">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у 38 участков отсутствовали Акты омотра электроустановки Госэнергонадзором;</w:t>
      </w:r>
    </w:p>
    <w:p w14:paraId="60E6638E">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- 1 счетчик при проверке имел  показания меньше, чем при установке на 1000 кВт;</w:t>
      </w:r>
    </w:p>
    <w:p w14:paraId="154DCF91">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- 5 счетчиков "преднамеренно" обнулены для невозможности снятия показаний потребленной электроэнергии;</w:t>
      </w:r>
    </w:p>
    <w:p w14:paraId="5CC9E8AE">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- 4 счетчика установлены на один участок, а Акты осмотра электроустановки энергонадзором выписаны на другие участки;</w:t>
      </w:r>
    </w:p>
    <w:p w14:paraId="7AD05E3B">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xml:space="preserve">- 26 счетчиков не соответствуют Акту энергонадзора (замена счетчиков на другие без уведомления правления), что не позволяет говорить об актуальных показаниях потребленной электроэнергии; </w:t>
      </w:r>
    </w:p>
    <w:p w14:paraId="3B9C590E">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- 9 счетчиков заменены без учета последних показаний на старом счётчике и начальных показаний на новом, что не позволяет говорить об актуальных показаниях потребленной электроэнергии;</w:t>
      </w:r>
    </w:p>
    <w:p w14:paraId="53E5A706">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- 28 счетчиков не опломбировано, что позволяло проводить манипуляции со счетчиком;</w:t>
      </w:r>
    </w:p>
    <w:p w14:paraId="0C2EC3E0">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- 9 счетчиков неисправны, один из них при включении крутился вперед, а при выключении просто крутился в обратную сторону;</w:t>
      </w:r>
    </w:p>
    <w:p w14:paraId="68F23975">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- 7 счетчиков подключены не правильно (не по проекту), что в ряде случаев приводило к неправильному учету электроэнергии;</w:t>
      </w:r>
    </w:p>
    <w:p w14:paraId="1635A387">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- 16 электроустановок подключены с нарушением правил электробезопасности, что могло привести к несчастным случаям;</w:t>
      </w:r>
    </w:p>
    <w:p w14:paraId="33E1F9A7">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- 5 случаев неправильных снятий показаний владельцами электроустановок;</w:t>
      </w:r>
    </w:p>
    <w:p w14:paraId="64A78337">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- 6 электроустановок не были учтены вообще в правлении;</w:t>
      </w:r>
    </w:p>
    <w:p w14:paraId="0C5D7850">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- 27 счетчиков установлены на улице, которые предназначены  для работы в помещении, что ведет к некорректной работе счётчика;</w:t>
      </w:r>
    </w:p>
    <w:p w14:paraId="09043800">
      <w:pPr>
        <w:tabs>
          <w:tab w:val="left" w:pos="720"/>
          <w:tab w:val="left" w:pos="9356"/>
        </w:tabs>
        <w:spacing w:after="0" w:line="240" w:lineRule="auto"/>
        <w:jc w:val="both"/>
        <w:rPr>
          <w:rFonts w:hint="default" w:ascii="Times New Roman" w:hAnsi="Times New Roman"/>
          <w:sz w:val="28"/>
          <w:szCs w:val="28"/>
          <w:lang w:val="ru-RU"/>
        </w:rPr>
      </w:pPr>
      <w:r>
        <w:rPr>
          <w:rFonts w:hint="default" w:ascii="Times New Roman" w:hAnsi="Times New Roman"/>
          <w:sz w:val="28"/>
          <w:szCs w:val="28"/>
          <w:lang w:val="ru-RU"/>
        </w:rPr>
        <w:t>- 1 счётчик установлен заведомо неповеренный, что не позволяет говорить об актуальных показаниях потребленной электроэнергии;</w:t>
      </w:r>
    </w:p>
    <w:p w14:paraId="4355804E">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sz w:val="28"/>
          <w:szCs w:val="28"/>
          <w:lang w:val="ru-RU"/>
        </w:rPr>
        <w:t>- рекордсмен - счетчик 1959 года выпуска был установлен в нашем Товариществе.</w:t>
      </w:r>
    </w:p>
    <w:p w14:paraId="501F896C">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Хотелось бы отметить, что все проблемы, которые были выявлены, на сегодняшний день устранены, за исключением:</w:t>
      </w:r>
    </w:p>
    <w:p w14:paraId="60224B90">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Электроустановки, которые не имеют Акт осмотра Госэнергогазнадзора:</w:t>
      </w:r>
    </w:p>
    <w:p w14:paraId="44C5E451">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21, 23 - отключена от ЛЭП;</w:t>
      </w:r>
    </w:p>
    <w:p w14:paraId="7ADD4C16">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396 - отключена от ЛЭП;</w:t>
      </w:r>
    </w:p>
    <w:p w14:paraId="17E27AD8">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417 - отключена от ЛЭП;</w:t>
      </w:r>
    </w:p>
    <w:p w14:paraId="0494DF32">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425 - отключена от ЛЭП;</w:t>
      </w:r>
    </w:p>
    <w:p w14:paraId="536A38AB">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электроустановка на земельном участке 592 - отключена от ЛЭП.</w:t>
      </w:r>
    </w:p>
    <w:p w14:paraId="5BC3340A">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 xml:space="preserve">Также, в ходе проверки было выявлено неисправное средство учёта электроэнергии. Владелец был предупрежден о необходимости замены счётчика. </w:t>
      </w:r>
    </w:p>
    <w:p w14:paraId="04180A8B">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 результате игнорирования, электроустановка на участке 564 отключена от ЛЭП.</w:t>
      </w:r>
    </w:p>
    <w:p w14:paraId="2BF23D8F">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Все отключения произведены только после письменного предупреждения владельцев о необходимости выполнения требований по устранению выявленных недостатков.</w:t>
      </w:r>
    </w:p>
    <w:p w14:paraId="61183706">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 xml:space="preserve">Не прекращалась вестись проверка средств учёта электроэнергии и их показаний. За период с 2022 года по настоящее время выявлена задолженность на индивидуальных средствах учета 62 860 кВт. Вся задолженность погашена перед товариществом, но хотелось бы отметить, что своевременная оплата за потреблённую электроэнергию присуща не всем членам товарищества. </w:t>
      </w:r>
    </w:p>
    <w:p w14:paraId="0268FA7D">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sz w:val="28"/>
          <w:szCs w:val="28"/>
          <w:lang w:val="ru-RU"/>
        </w:rPr>
        <w:t>Также произведена замена средства учёта электроэнергии на действующей МТП-193 на новый с поддержкой системы АСКУЭ. Установлено оборудование и наладка системы АСКУЭ. Осуществлена замена трансформаторов тока на нашем МТП-193, у которых вышел эксплуатационный срок.</w:t>
      </w:r>
    </w:p>
    <w:p w14:paraId="3D3E6F62">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При плановой проверке электроустановок, были выявлены случаи нарушения электробезопасности.  В частности:</w:t>
      </w:r>
    </w:p>
    <w:p w14:paraId="0ECC75DC">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на участке 191 выявлен факт сращивания силового кабеля, что запрещено Правилами технической эксплуатации электроустановок. Причём, сращивание было выполнено таким образом, что эксплуатация данной электроустановки могла привести к трагедии. Владелец проигнорировал требования по замене кабеля, соответственно - отключён от ЛЭП;</w:t>
      </w:r>
    </w:p>
    <w:p w14:paraId="591F5F76">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на участке 397 выявлен залом в земле силового кабеля, что могло привести к короткому замыканию ЛЭП. Владелец устранил проблему в кратчайшие сроки.</w:t>
      </w:r>
    </w:p>
    <w:p w14:paraId="39E276CE">
      <w:pPr>
        <w:tabs>
          <w:tab w:val="left" w:pos="720"/>
          <w:tab w:val="left" w:pos="9356"/>
        </w:tabs>
        <w:spacing w:after="0" w:line="240" w:lineRule="auto"/>
        <w:jc w:val="both"/>
        <w:rPr>
          <w:rFonts w:hint="default" w:ascii="Times New Roman" w:hAnsi="Times New Roman" w:cs="Times New Roman" w:eastAsiaTheme="minorHAnsi"/>
          <w:color w:val="auto"/>
          <w:sz w:val="28"/>
          <w:szCs w:val="28"/>
          <w:lang w:val="ru-RU" w:eastAsia="en-US" w:bidi="ar-SA"/>
        </w:rPr>
      </w:pPr>
      <w:r>
        <w:rPr>
          <w:rFonts w:hint="default" w:ascii="Times New Roman" w:hAnsi="Times New Roman" w:cs="Times New Roman" w:eastAsiaTheme="minorHAnsi"/>
          <w:color w:val="auto"/>
          <w:sz w:val="28"/>
          <w:szCs w:val="28"/>
          <w:lang w:val="ru-RU" w:eastAsia="en-US" w:bidi="ar-SA"/>
        </w:rPr>
        <w:tab/>
      </w:r>
      <w:r>
        <w:rPr>
          <w:rFonts w:hint="default" w:ascii="Times New Roman" w:hAnsi="Times New Roman" w:cs="Times New Roman" w:eastAsiaTheme="minorHAnsi"/>
          <w:color w:val="auto"/>
          <w:sz w:val="28"/>
          <w:szCs w:val="28"/>
          <w:lang w:val="ru-RU" w:eastAsia="en-US" w:bidi="ar-SA"/>
        </w:rPr>
        <w:t>В Товариществе в свое время за денежные средства членов СТ была оборудована система ЛЭП</w:t>
      </w:r>
      <w:r>
        <w:rPr>
          <w:rFonts w:hint="default" w:ascii="Times New Roman" w:hAnsi="Times New Roman" w:cs="Times New Roman"/>
          <w:color w:val="auto"/>
          <w:sz w:val="28"/>
          <w:szCs w:val="28"/>
          <w:lang w:val="ru-RU" w:eastAsia="en-US" w:bidi="ar-SA"/>
        </w:rPr>
        <w:t>, закуплен и установлен трансформатор</w:t>
      </w:r>
      <w:r>
        <w:rPr>
          <w:rFonts w:hint="default" w:ascii="Times New Roman" w:hAnsi="Times New Roman" w:cs="Times New Roman" w:eastAsiaTheme="minorHAnsi"/>
          <w:color w:val="auto"/>
          <w:sz w:val="28"/>
          <w:szCs w:val="28"/>
          <w:lang w:val="ru-RU" w:eastAsia="en-US" w:bidi="ar-SA"/>
        </w:rPr>
        <w:t>. В среднем был рассчитан целевой взнос, исходя из общей стоимости закупленных материальных средств и выполненных работ. На тот момент размер целевого взноса на подключение к ЛЭП составлял 650$ из расчета в белорусских рублях по курсу Национального банка РБ на момент оплаты. Но в 2021 году был произведен перерасчет. Членам Товарищества, которые оплачивали данный целевой взнос из расчета 650$, был зачтен членский взнос в размере 40 рублей. Поэтому на сегодняшний день целевой взнос составля</w:t>
      </w:r>
      <w:r>
        <w:rPr>
          <w:rFonts w:hint="default" w:ascii="Times New Roman" w:hAnsi="Times New Roman" w:cs="Times New Roman"/>
          <w:color w:val="auto"/>
          <w:sz w:val="28"/>
          <w:szCs w:val="28"/>
          <w:lang w:val="ru-RU" w:eastAsia="en-US" w:bidi="ar-SA"/>
        </w:rPr>
        <w:t>ет</w:t>
      </w:r>
      <w:r>
        <w:rPr>
          <w:rFonts w:hint="default" w:ascii="Times New Roman" w:hAnsi="Times New Roman" w:cs="Times New Roman" w:eastAsiaTheme="minorHAnsi"/>
          <w:color w:val="auto"/>
          <w:sz w:val="28"/>
          <w:szCs w:val="28"/>
          <w:lang w:val="ru-RU" w:eastAsia="en-US" w:bidi="ar-SA"/>
        </w:rPr>
        <w:t xml:space="preserve"> из расчета 630$</w:t>
      </w:r>
      <w:r>
        <w:rPr>
          <w:rFonts w:hint="default" w:ascii="Times New Roman" w:hAnsi="Times New Roman" w:cs="Times New Roman"/>
          <w:color w:val="auto"/>
          <w:sz w:val="28"/>
          <w:szCs w:val="28"/>
          <w:lang w:val="ru-RU" w:eastAsia="en-US" w:bidi="ar-SA"/>
        </w:rPr>
        <w:t>, который утвержден Общим собранием</w:t>
      </w:r>
      <w:r>
        <w:rPr>
          <w:rFonts w:hint="default" w:ascii="Times New Roman" w:hAnsi="Times New Roman" w:cs="Times New Roman" w:eastAsiaTheme="minorHAnsi"/>
          <w:color w:val="auto"/>
          <w:sz w:val="28"/>
          <w:szCs w:val="28"/>
          <w:lang w:val="ru-RU" w:eastAsia="en-US" w:bidi="ar-SA"/>
        </w:rPr>
        <w:t>.</w:t>
      </w:r>
    </w:p>
    <w:p w14:paraId="74877FDD">
      <w:pPr>
        <w:tabs>
          <w:tab w:val="left" w:pos="720"/>
          <w:tab w:val="left" w:pos="9356"/>
        </w:tabs>
        <w:spacing w:after="0" w:line="240" w:lineRule="auto"/>
        <w:jc w:val="both"/>
        <w:rPr>
          <w:rFonts w:hint="default" w:ascii="Times New Roman" w:hAnsi="Times New Roman" w:cs="Times New Roman" w:eastAsiaTheme="minorHAnsi"/>
          <w:color w:val="auto"/>
          <w:sz w:val="28"/>
          <w:szCs w:val="28"/>
          <w:lang w:val="ru-RU" w:eastAsia="en-US" w:bidi="ar-SA"/>
        </w:rPr>
      </w:pPr>
      <w:r>
        <w:rPr>
          <w:rFonts w:hint="default" w:ascii="Times New Roman" w:hAnsi="Times New Roman" w:cs="Times New Roman"/>
          <w:color w:val="auto"/>
          <w:sz w:val="28"/>
          <w:szCs w:val="28"/>
          <w:lang w:val="ru-RU" w:eastAsia="en-US" w:bidi="ar-SA"/>
        </w:rPr>
        <w:tab/>
      </w:r>
      <w:r>
        <w:rPr>
          <w:rFonts w:hint="default" w:ascii="Times New Roman" w:hAnsi="Times New Roman" w:cs="Times New Roman"/>
          <w:color w:val="auto"/>
          <w:sz w:val="28"/>
          <w:szCs w:val="28"/>
          <w:lang w:val="ru-RU" w:eastAsia="en-US" w:bidi="ar-SA"/>
        </w:rPr>
        <w:t xml:space="preserve">Во время приема мною дел и должности Председателя правления были выявлены факты недоплаты некоторыми членами товарищества данного целевого взноса. Но ввиду того, что исковая давность 3 года уже истекла, взыскание долгов не имеет быть возможна. </w:t>
      </w:r>
    </w:p>
    <w:p w14:paraId="002457B4">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 xml:space="preserve">В отчётный период было установлено 8 электрических опор и проложено </w:t>
      </w:r>
    </w:p>
    <w:p w14:paraId="246BC42E">
      <w:pPr>
        <w:tabs>
          <w:tab w:val="left" w:pos="720"/>
          <w:tab w:val="left" w:pos="9356"/>
        </w:tabs>
        <w:spacing w:after="0" w:line="240" w:lineRule="auto"/>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230 метров электрического кабеля СИП-4 4*50+1*25 за счет средств целевого взноса за разрешение подключения к ЛЭП (630</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ru-RU"/>
        </w:rPr>
        <w:t>). Также производился осмотр опор, кабельных линий. Выявлено уже три точки подключения электроустановок, выполненных с нарушениями, а именно, подключение силового кабеля от электроустановок произведено на очищенные от изоляции провода, что в дальнейшем со временем приведёт к разрушению ЛЭП на данных участках и, как результат, потребуется замена кабеля. В связи с этим, уже спланированы ремонтные работы по восстановлению целостности изоляции, проведение которых возможно в тёплых сухих погодных условиях. Проводилась своими силами очистка безопасной зоны под ЛЭП от деревьев. Работа выполнена на 70%.</w:t>
      </w:r>
    </w:p>
    <w:p w14:paraId="23E4A5AD">
      <w:pPr>
        <w:tabs>
          <w:tab w:val="left" w:pos="720"/>
          <w:tab w:val="left" w:pos="9356"/>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color w:val="auto"/>
          <w:sz w:val="28"/>
          <w:szCs w:val="28"/>
          <w:lang w:val="ru-RU"/>
        </w:rPr>
        <w:t>Также за счет средств целевого взноса за разрешение подключения к ЛЭП  (630</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ru-RU"/>
        </w:rPr>
        <w:t>) в</w:t>
      </w:r>
      <w:r>
        <w:rPr>
          <w:rFonts w:hint="default" w:ascii="Times New Roman" w:hAnsi="Times New Roman" w:cs="Times New Roman"/>
          <w:color w:val="auto"/>
          <w:sz w:val="28"/>
          <w:szCs w:val="28"/>
          <w:lang w:val="en-US"/>
        </w:rPr>
        <w:t xml:space="preserve"> </w:t>
      </w:r>
      <w:r>
        <w:rPr>
          <w:rFonts w:hint="default" w:ascii="Times New Roman" w:hAnsi="Times New Roman" w:cs="Times New Roman"/>
          <w:sz w:val="28"/>
          <w:szCs w:val="28"/>
          <w:lang w:val="ru-RU"/>
        </w:rPr>
        <w:t>2022 году начались монтажные работы подрядной организацией «ТТКэлектромонтаж» по установке второго трансформатора для увеличения мощности в товариществе (стоимость всего проекта согласно Акта выполненных работ составила 136 000 белорусских рублей). На сегодняшний день все плановые монтажные работы завершены. Произведён первичный осмотр трансформатора и всех проложенных кабельных линий Госэнергогазнадзором. Произведён запуск трансформатора электросетями. Произведены повторные электрофизические измерения выносного щита. Поданы документы для окончательной приёмки   Госэнергогазнадзором нашего объекта по увеличению мощности. После чего будет проводиться работа по сдаче высоковольтной линии и трансформатора на баланс Брестских районных электросетей.</w:t>
      </w:r>
    </w:p>
    <w:p w14:paraId="7994F55C">
      <w:pPr>
        <w:tabs>
          <w:tab w:val="left" w:pos="720"/>
          <w:tab w:val="left" w:pos="9356"/>
        </w:tabs>
        <w:spacing w:after="0" w:line="240" w:lineRule="auto"/>
        <w:ind w:left="0" w:leftChars="0" w:firstLine="0" w:firstLineChars="0"/>
        <w:jc w:val="both"/>
        <w:rPr>
          <w:rFonts w:hint="default" w:ascii="Times New Roman" w:hAnsi="Times New Roman" w:cs="Times New Roman"/>
          <w:color w:val="auto"/>
          <w:sz w:val="28"/>
          <w:szCs w:val="28"/>
          <w:lang w:val="ru-RU"/>
        </w:rPr>
      </w:pP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На сегодняшний день  электрофицировано только 60% всего товарищества. Все последующие поступления целевого взноса (</w:t>
      </w:r>
      <w:r>
        <w:rPr>
          <w:rFonts w:hint="default" w:ascii="Times New Roman" w:hAnsi="Times New Roman" w:cs="Times New Roman"/>
          <w:color w:val="auto"/>
          <w:sz w:val="28"/>
          <w:szCs w:val="28"/>
          <w:lang w:val="ru-RU"/>
        </w:rPr>
        <w:t>630</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ru-RU"/>
        </w:rPr>
        <w:t xml:space="preserve">) будут расходоваться на совершенствование и расширение системы ЛЭП. Поэтому вопрос о возмещении денежных средств, потраченных ранее членами товарищества на электрификацию в ближайшем будущем даже не рассматривается.  </w:t>
      </w:r>
    </w:p>
    <w:p w14:paraId="7225B6D7">
      <w:pPr>
        <w:tabs>
          <w:tab w:val="left" w:pos="720"/>
          <w:tab w:val="left" w:pos="9356"/>
        </w:tabs>
        <w:spacing w:after="0" w:line="240" w:lineRule="auto"/>
        <w:ind w:left="0" w:leftChars="0" w:firstLine="0" w:firstLineChars="0"/>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ab/>
      </w:r>
      <w:r>
        <w:rPr>
          <w:rFonts w:hint="default" w:ascii="Times New Roman" w:hAnsi="Times New Roman" w:cs="Times New Roman"/>
          <w:color w:val="auto"/>
          <w:sz w:val="28"/>
          <w:szCs w:val="28"/>
          <w:lang w:val="ru-RU"/>
        </w:rPr>
        <w:t>Вся эта информация доводилась членам товарищества и имеется в открытом доступе на нашем сайте.</w:t>
      </w:r>
    </w:p>
    <w:p w14:paraId="525F5240">
      <w:pPr>
        <w:tabs>
          <w:tab w:val="left" w:pos="720"/>
          <w:tab w:val="left" w:pos="9356"/>
        </w:tabs>
        <w:spacing w:after="0" w:line="240" w:lineRule="auto"/>
        <w:ind w:left="140" w:hanging="140" w:hangingChars="50"/>
        <w:jc w:val="both"/>
        <w:rPr>
          <w:rFonts w:hint="default" w:ascii="Times New Roman" w:hAnsi="Times New Roman" w:cs="Times New Roman"/>
          <w:color w:val="auto"/>
          <w:sz w:val="28"/>
          <w:szCs w:val="28"/>
          <w:lang w:val="ru-RU"/>
        </w:rPr>
      </w:pPr>
    </w:p>
    <w:p w14:paraId="5AFEE9A2">
      <w:pPr>
        <w:tabs>
          <w:tab w:val="left" w:pos="6804"/>
        </w:tabs>
        <w:spacing w:after="1" w:line="200" w:lineRule="atLeast"/>
        <w:jc w:val="both"/>
        <w:rPr>
          <w:rFonts w:ascii="Times New Roman" w:hAnsi="Times New Roman" w:eastAsia="Times New Roman" w:cs="Times New Roman"/>
          <w:b/>
          <w:kern w:val="2"/>
          <w:sz w:val="28"/>
          <w:szCs w:val="28"/>
          <w:lang w:eastAsia="ru-RU"/>
        </w:rPr>
      </w:pPr>
    </w:p>
    <w:p w14:paraId="3B7ED619">
      <w:pPr>
        <w:tabs>
          <w:tab w:val="left" w:pos="6804"/>
        </w:tabs>
        <w:spacing w:after="1" w:line="200" w:lineRule="atLeast"/>
        <w:jc w:val="both"/>
        <w:rPr>
          <w:sz w:val="28"/>
          <w:szCs w:val="28"/>
        </w:rPr>
      </w:pPr>
      <w:r>
        <w:rPr>
          <w:rFonts w:ascii="Times New Roman" w:hAnsi="Times New Roman" w:eastAsia="Times New Roman" w:cs="Times New Roman"/>
          <w:kern w:val="2"/>
          <w:sz w:val="28"/>
          <w:szCs w:val="28"/>
          <w:lang w:eastAsia="ru-RU"/>
        </w:rPr>
        <w:t>Председатель правления</w:t>
      </w:r>
      <w:r>
        <w:rPr>
          <w:rFonts w:ascii="Times New Roman" w:hAnsi="Times New Roman" w:eastAsia="Times New Roman" w:cs="Times New Roman"/>
          <w:kern w:val="2"/>
          <w:sz w:val="28"/>
          <w:szCs w:val="28"/>
          <w:lang w:eastAsia="ru-RU"/>
        </w:rPr>
        <w:tab/>
      </w:r>
      <w:r>
        <w:rPr>
          <w:rFonts w:ascii="Times New Roman" w:hAnsi="Times New Roman" w:cs="Times New Roman"/>
          <w:sz w:val="28"/>
          <w:szCs w:val="28"/>
        </w:rPr>
        <w:t>С.А. Малюгин</w:t>
      </w:r>
    </w:p>
    <w:sectPr>
      <w:pgSz w:w="11906" w:h="16838"/>
      <w:pgMar w:top="851" w:right="567" w:bottom="567" w:left="1134" w:header="0" w:footer="0" w:gutter="0"/>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Latha"/>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6A"/>
    <w:rsid w:val="00001C6F"/>
    <w:rsid w:val="000700B7"/>
    <w:rsid w:val="00077C43"/>
    <w:rsid w:val="0009062F"/>
    <w:rsid w:val="000B16C5"/>
    <w:rsid w:val="000F7DB4"/>
    <w:rsid w:val="0015176A"/>
    <w:rsid w:val="00164631"/>
    <w:rsid w:val="00180E43"/>
    <w:rsid w:val="00196FD0"/>
    <w:rsid w:val="001C1723"/>
    <w:rsid w:val="001E543A"/>
    <w:rsid w:val="002C4EEC"/>
    <w:rsid w:val="002C62FB"/>
    <w:rsid w:val="00304DE4"/>
    <w:rsid w:val="003121E6"/>
    <w:rsid w:val="003F3A4C"/>
    <w:rsid w:val="00444F6E"/>
    <w:rsid w:val="004455FF"/>
    <w:rsid w:val="00471656"/>
    <w:rsid w:val="0048027F"/>
    <w:rsid w:val="004D3AE7"/>
    <w:rsid w:val="0051400F"/>
    <w:rsid w:val="00540EA4"/>
    <w:rsid w:val="00543A7F"/>
    <w:rsid w:val="0054614B"/>
    <w:rsid w:val="005704B5"/>
    <w:rsid w:val="00631824"/>
    <w:rsid w:val="0063421C"/>
    <w:rsid w:val="00665DDD"/>
    <w:rsid w:val="00693008"/>
    <w:rsid w:val="006E3E2A"/>
    <w:rsid w:val="0071296D"/>
    <w:rsid w:val="00756400"/>
    <w:rsid w:val="007C619D"/>
    <w:rsid w:val="007D35A3"/>
    <w:rsid w:val="007F7549"/>
    <w:rsid w:val="008B1E89"/>
    <w:rsid w:val="008B6D30"/>
    <w:rsid w:val="0095003B"/>
    <w:rsid w:val="009915AB"/>
    <w:rsid w:val="009E71D8"/>
    <w:rsid w:val="009F6D89"/>
    <w:rsid w:val="00A276D9"/>
    <w:rsid w:val="00A51703"/>
    <w:rsid w:val="00A526F3"/>
    <w:rsid w:val="00A75BBB"/>
    <w:rsid w:val="00B14C22"/>
    <w:rsid w:val="00B63380"/>
    <w:rsid w:val="00BE0E93"/>
    <w:rsid w:val="00C42B20"/>
    <w:rsid w:val="00C56354"/>
    <w:rsid w:val="00CF1FCF"/>
    <w:rsid w:val="00CF43A0"/>
    <w:rsid w:val="00D06383"/>
    <w:rsid w:val="00D34E91"/>
    <w:rsid w:val="00D4274E"/>
    <w:rsid w:val="00DA76BA"/>
    <w:rsid w:val="00DC0F36"/>
    <w:rsid w:val="00DD2AE4"/>
    <w:rsid w:val="00E14B0F"/>
    <w:rsid w:val="00E2249A"/>
    <w:rsid w:val="00E610DC"/>
    <w:rsid w:val="00E8283E"/>
    <w:rsid w:val="00E831E8"/>
    <w:rsid w:val="00E92337"/>
    <w:rsid w:val="00EB0956"/>
    <w:rsid w:val="00EE3158"/>
    <w:rsid w:val="00FB0A4C"/>
    <w:rsid w:val="00FC0415"/>
    <w:rsid w:val="00FE7669"/>
    <w:rsid w:val="034F5935"/>
    <w:rsid w:val="04F2434B"/>
    <w:rsid w:val="062A18F2"/>
    <w:rsid w:val="09C557C8"/>
    <w:rsid w:val="0E444A26"/>
    <w:rsid w:val="0EF12265"/>
    <w:rsid w:val="10F21040"/>
    <w:rsid w:val="123E3599"/>
    <w:rsid w:val="155342D6"/>
    <w:rsid w:val="18953D2E"/>
    <w:rsid w:val="1CBC09CC"/>
    <w:rsid w:val="2259278F"/>
    <w:rsid w:val="27CE2007"/>
    <w:rsid w:val="2B551582"/>
    <w:rsid w:val="2CC5757C"/>
    <w:rsid w:val="34D57A8A"/>
    <w:rsid w:val="357419CD"/>
    <w:rsid w:val="36B645DE"/>
    <w:rsid w:val="38853712"/>
    <w:rsid w:val="47362C14"/>
    <w:rsid w:val="50963BF4"/>
    <w:rsid w:val="52C3645F"/>
    <w:rsid w:val="547C41CC"/>
    <w:rsid w:val="60CF21A6"/>
    <w:rsid w:val="6A875F1E"/>
    <w:rsid w:val="6AFB099C"/>
    <w:rsid w:val="76D67518"/>
    <w:rsid w:val="7D7358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semiHidden/>
    <w:unhideWhenUsed/>
    <w:qFormat/>
    <w:uiPriority w:val="99"/>
    <w:pPr>
      <w:spacing w:after="0" w:line="240" w:lineRule="auto"/>
    </w:pPr>
    <w:rPr>
      <w:rFonts w:ascii="Segoe UI" w:hAnsi="Segoe UI" w:cs="Segoe UI"/>
      <w:sz w:val="18"/>
      <w:szCs w:val="18"/>
    </w:rPr>
  </w:style>
  <w:style w:type="paragraph" w:styleId="6">
    <w:name w:val="caption"/>
    <w:basedOn w:val="1"/>
    <w:next w:val="1"/>
    <w:qFormat/>
    <w:uiPriority w:val="0"/>
    <w:pPr>
      <w:suppressLineNumbers/>
      <w:spacing w:before="120" w:after="120"/>
    </w:pPr>
    <w:rPr>
      <w:rFonts w:cs="Lohit Devanagari"/>
      <w:i/>
      <w:iCs/>
      <w:sz w:val="24"/>
      <w:szCs w:val="24"/>
    </w:rPr>
  </w:style>
  <w:style w:type="paragraph" w:styleId="7">
    <w:name w:val="index 1"/>
    <w:basedOn w:val="1"/>
    <w:next w:val="1"/>
    <w:semiHidden/>
    <w:unhideWhenUsed/>
    <w:qFormat/>
    <w:uiPriority w:val="99"/>
  </w:style>
  <w:style w:type="paragraph" w:styleId="8">
    <w:name w:val="Body Text"/>
    <w:basedOn w:val="1"/>
    <w:qFormat/>
    <w:uiPriority w:val="0"/>
    <w:pPr>
      <w:spacing w:after="140" w:line="276" w:lineRule="auto"/>
    </w:pPr>
  </w:style>
  <w:style w:type="paragraph" w:styleId="9">
    <w:name w:val="index heading"/>
    <w:basedOn w:val="1"/>
    <w:next w:val="7"/>
    <w:qFormat/>
    <w:uiPriority w:val="0"/>
    <w:pPr>
      <w:suppressLineNumbers/>
    </w:pPr>
    <w:rPr>
      <w:rFonts w:cs="Lohit Devanagari"/>
    </w:rPr>
  </w:style>
  <w:style w:type="paragraph" w:styleId="10">
    <w:name w:val="Title"/>
    <w:basedOn w:val="1"/>
    <w:next w:val="8"/>
    <w:qFormat/>
    <w:uiPriority w:val="0"/>
    <w:pPr>
      <w:keepNext/>
      <w:spacing w:before="240" w:after="120"/>
    </w:pPr>
    <w:rPr>
      <w:rFonts w:ascii="Liberation Sans" w:hAnsi="Liberation Sans" w:eastAsia="Noto Sans CJK SC" w:cs="Lohit Devanagari"/>
      <w:sz w:val="28"/>
      <w:szCs w:val="28"/>
    </w:rPr>
  </w:style>
  <w:style w:type="paragraph" w:styleId="11">
    <w:name w:val="List"/>
    <w:basedOn w:val="8"/>
    <w:qFormat/>
    <w:uiPriority w:val="0"/>
    <w:rPr>
      <w:rFonts w:cs="Lohit Devanagari"/>
    </w:rPr>
  </w:style>
  <w:style w:type="paragraph" w:styleId="12">
    <w:name w:val="Normal (Web)"/>
    <w:basedOn w:val="1"/>
    <w:unhideWhenUsed/>
    <w:qFormat/>
    <w:uiPriority w:val="99"/>
    <w:pPr>
      <w:spacing w:after="0" w:line="240" w:lineRule="auto"/>
    </w:pPr>
    <w:rPr>
      <w:rFonts w:ascii="Times New Roman" w:hAnsi="Times New Roman" w:eastAsia="Times New Roman" w:cs="Times New Roman"/>
      <w:sz w:val="24"/>
      <w:szCs w:val="24"/>
      <w:lang w:eastAsia="ru-RU"/>
    </w:rPr>
  </w:style>
  <w:style w:type="table" w:styleId="13">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consnonformat"/>
    <w:basedOn w:val="2"/>
    <w:qFormat/>
    <w:uiPriority w:val="0"/>
  </w:style>
  <w:style w:type="character" w:customStyle="1" w:styleId="15">
    <w:name w:val="h-consdtnormal"/>
    <w:basedOn w:val="2"/>
    <w:qFormat/>
    <w:uiPriority w:val="0"/>
  </w:style>
  <w:style w:type="character" w:customStyle="1" w:styleId="16">
    <w:name w:val="font-style_italic"/>
    <w:basedOn w:val="2"/>
    <w:qFormat/>
    <w:uiPriority w:val="0"/>
  </w:style>
  <w:style w:type="character" w:customStyle="1" w:styleId="17">
    <w:name w:val="fake-non-breaking-space"/>
    <w:basedOn w:val="2"/>
    <w:qFormat/>
    <w:uiPriority w:val="0"/>
  </w:style>
  <w:style w:type="character" w:customStyle="1" w:styleId="18">
    <w:name w:val="Текст выноски Знак"/>
    <w:basedOn w:val="2"/>
    <w:semiHidden/>
    <w:qFormat/>
    <w:uiPriority w:val="99"/>
    <w:rPr>
      <w:rFonts w:ascii="Segoe UI" w:hAnsi="Segoe UI" w:cs="Segoe UI"/>
      <w:sz w:val="18"/>
      <w:szCs w:val="18"/>
    </w:rPr>
  </w:style>
  <w:style w:type="character" w:customStyle="1" w:styleId="19">
    <w:name w:val="ListLabel 1"/>
    <w:qFormat/>
    <w:uiPriority w:val="0"/>
    <w:rPr>
      <w:rFonts w:cs="Courier New"/>
    </w:rPr>
  </w:style>
  <w:style w:type="character" w:customStyle="1" w:styleId="20">
    <w:name w:val="ListLabel 2"/>
    <w:qFormat/>
    <w:uiPriority w:val="0"/>
    <w:rPr>
      <w:rFonts w:cs="Courier New"/>
    </w:rPr>
  </w:style>
  <w:style w:type="character" w:customStyle="1" w:styleId="21">
    <w:name w:val="ListLabel 3"/>
    <w:qFormat/>
    <w:uiPriority w:val="0"/>
    <w:rPr>
      <w:rFonts w:cs="Courier New"/>
    </w:rPr>
  </w:style>
  <w:style w:type="character" w:customStyle="1" w:styleId="22">
    <w:name w:val="ListLabel 4"/>
    <w:qFormat/>
    <w:uiPriority w:val="0"/>
    <w:rPr>
      <w:rFonts w:cs="Courier New"/>
    </w:rPr>
  </w:style>
  <w:style w:type="character" w:customStyle="1" w:styleId="23">
    <w:name w:val="ListLabel 5"/>
    <w:qFormat/>
    <w:uiPriority w:val="0"/>
    <w:rPr>
      <w:rFonts w:cs="Courier New"/>
    </w:rPr>
  </w:style>
  <w:style w:type="character" w:customStyle="1" w:styleId="24">
    <w:name w:val="ListLabel 6"/>
    <w:qFormat/>
    <w:uiPriority w:val="0"/>
    <w:rPr>
      <w:rFonts w:cs="Courier New"/>
    </w:rPr>
  </w:style>
  <w:style w:type="paragraph" w:styleId="25">
    <w:name w:val="List Paragraph"/>
    <w:basedOn w:val="1"/>
    <w:qFormat/>
    <w:uiPriority w:val="34"/>
    <w:pPr>
      <w:ind w:left="720"/>
      <w:contextualSpacing/>
    </w:pPr>
  </w:style>
  <w:style w:type="paragraph" w:customStyle="1" w:styleId="26">
    <w:name w:val="ConsPlusNormal"/>
    <w:qFormat/>
    <w:uiPriority w:val="0"/>
    <w:rPr>
      <w:rFonts w:ascii="Times New Roman" w:hAnsi="Times New Roman" w:cs="Times New Roman" w:eastAsiaTheme="minorHAnsi"/>
      <w:sz w:val="24"/>
      <w:szCs w:val="24"/>
      <w:lang w:val="ru-RU" w:eastAsia="en-US" w:bidi="ar-SA"/>
    </w:rPr>
  </w:style>
  <w:style w:type="paragraph" w:customStyle="1" w:styleId="27">
    <w:name w:val="p-normal"/>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customStyle="1" w:styleId="28">
    <w:name w:val="p-consnonformat"/>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customStyle="1" w:styleId="29">
    <w:name w:val="p-consdtnormal"/>
    <w:basedOn w:val="1"/>
    <w:qFormat/>
    <w:uiPriority w:val="0"/>
    <w:pPr>
      <w:spacing w:beforeAutospacing="1" w:afterAutospacing="1" w:line="240" w:lineRule="auto"/>
    </w:pPr>
    <w:rPr>
      <w:rFonts w:ascii="Times New Roman" w:hAnsi="Times New Roman" w:eastAsia="Times New Roman" w:cs="Times New Roman"/>
      <w:sz w:val="24"/>
      <w:szCs w:val="24"/>
      <w:lang w:eastAsia="ru-RU"/>
    </w:rPr>
  </w:style>
  <w:style w:type="paragraph" w:styleId="30">
    <w:name w:val="No Spacing"/>
    <w:qFormat/>
    <w:uiPriority w:val="1"/>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F2B2D-724F-4DBB-882C-85CB09D03F9A}">
  <ds:schemaRefs/>
</ds:datastoreItem>
</file>

<file path=docProps/app.xml><?xml version="1.0" encoding="utf-8"?>
<Properties xmlns="http://schemas.openxmlformats.org/officeDocument/2006/extended-properties" xmlns:vt="http://schemas.openxmlformats.org/officeDocument/2006/docPropsVTypes">
  <Template>Normal</Template>
  <Company>SERVICE</Company>
  <Pages>4</Pages>
  <Words>591</Words>
  <Characters>3374</Characters>
  <Lines>28</Lines>
  <Paragraphs>7</Paragraphs>
  <TotalTime>25</TotalTime>
  <ScaleCrop>false</ScaleCrop>
  <LinksUpToDate>false</LinksUpToDate>
  <CharactersWithSpaces>3958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2022-08-12T23:21:00Z</dcterms:created>
  <dc:creator>Максим Рудковский</dc:creator>
  <cp:lastModifiedBy>сергей малюгин</cp:lastModifiedBy>
  <cp:lastPrinted>2023-09-16T07:55:00Z</cp:lastPrinted>
  <dcterms:modified xsi:type="dcterms:W3CDTF">2024-07-24T16:54:02Z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SERVICE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1049-12.2.0.17153</vt:lpwstr>
  </property>
  <property fmtid="{D5CDD505-2E9C-101B-9397-08002B2CF9AE}" pid="10" name="ICV">
    <vt:lpwstr>4E9B4076F2EC4D9DA066D5AE0710D06F_13</vt:lpwstr>
  </property>
</Properties>
</file>